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EF04B8" w:rsidP="007D6C65">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6.8pt;width:500.2pt;height:192.5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2B18DB" w:rsidRPr="00ED323D" w:rsidRDefault="008622F2" w:rsidP="002B18DB">
                      <w:pPr>
                        <w:spacing w:after="0" w:line="240" w:lineRule="auto"/>
                        <w:jc w:val="center"/>
                        <w:rPr>
                          <w:rFonts w:ascii="Imprint MT Shadow" w:hAnsi="Imprint MT Shadow"/>
                          <w:color w:val="FFFFFF" w:themeColor="background1"/>
                          <w:sz w:val="56"/>
                          <w:szCs w:val="56"/>
                          <w:lang w:val="es-ES_tradnl"/>
                        </w:rPr>
                      </w:pPr>
                      <w:r w:rsidRPr="00ED323D">
                        <w:rPr>
                          <w:rFonts w:ascii="Imprint MT Shadow" w:hAnsi="Imprint MT Shadow"/>
                          <w:color w:val="FFFFFF" w:themeColor="background1"/>
                          <w:sz w:val="56"/>
                          <w:szCs w:val="56"/>
                          <w:lang w:val="es-ES_tradnl"/>
                        </w:rPr>
                        <w:t>Informe</w:t>
                      </w:r>
                      <w:r w:rsidR="00906480">
                        <w:rPr>
                          <w:rFonts w:ascii="Imprint MT Shadow" w:hAnsi="Imprint MT Shadow"/>
                          <w:color w:val="FFFFFF" w:themeColor="background1"/>
                          <w:sz w:val="56"/>
                          <w:szCs w:val="56"/>
                          <w:lang w:val="es-ES_tradnl"/>
                        </w:rPr>
                        <w:t xml:space="preserve"> de</w:t>
                      </w:r>
                      <w:r w:rsidRPr="00ED323D">
                        <w:rPr>
                          <w:rFonts w:ascii="Imprint MT Shadow" w:hAnsi="Imprint MT Shadow"/>
                          <w:color w:val="FFFFFF" w:themeColor="background1"/>
                          <w:sz w:val="56"/>
                          <w:szCs w:val="56"/>
                          <w:lang w:val="es-ES_tradnl"/>
                        </w:rPr>
                        <w:t xml:space="preserve"> Estrategia Internacional</w:t>
                      </w:r>
                    </w:p>
                    <w:p w:rsidR="002B18DB" w:rsidRPr="002B18DB" w:rsidRDefault="002B18DB" w:rsidP="002B18DB">
                      <w:pPr>
                        <w:spacing w:after="0" w:line="240" w:lineRule="auto"/>
                        <w:jc w:val="center"/>
                        <w:rPr>
                          <w:rFonts w:ascii="Imprint MT Shadow" w:hAnsi="Imprint MT Shadow"/>
                          <w:color w:val="FFFFFF" w:themeColor="background1"/>
                          <w:sz w:val="72"/>
                          <w:szCs w:val="72"/>
                          <w:lang w:val="es-ES_tradnl"/>
                        </w:rPr>
                      </w:pPr>
                    </w:p>
                    <w:p w:rsidR="002B18DB" w:rsidRPr="002B18DB" w:rsidRDefault="00ED323D" w:rsidP="002B18DB">
                      <w:pPr>
                        <w:spacing w:after="0" w:line="240" w:lineRule="auto"/>
                        <w:rPr>
                          <w:rFonts w:ascii="Imprint MT Shadow" w:hAnsi="Imprint MT Shadow"/>
                          <w:color w:val="00B0F0"/>
                          <w:sz w:val="56"/>
                          <w:szCs w:val="56"/>
                          <w:lang w:val="es-ES_tradnl"/>
                        </w:rPr>
                      </w:pPr>
                      <w:r>
                        <w:rPr>
                          <w:rFonts w:ascii="Imprint MT Shadow" w:hAnsi="Imprint MT Shadow"/>
                          <w:color w:val="00B0F0"/>
                          <w:sz w:val="56"/>
                          <w:szCs w:val="56"/>
                          <w:lang w:val="es-ES_tradnl"/>
                        </w:rPr>
                        <w:t xml:space="preserve">         </w:t>
                      </w:r>
                      <w:r w:rsidR="002B18DB">
                        <w:rPr>
                          <w:rFonts w:ascii="Imprint MT Shadow" w:hAnsi="Imprint MT Shadow"/>
                          <w:color w:val="00B0F0"/>
                          <w:sz w:val="56"/>
                          <w:szCs w:val="56"/>
                          <w:lang w:val="es-ES_tradnl"/>
                        </w:rPr>
                        <w:t xml:space="preserve"> </w:t>
                      </w:r>
                      <w:r w:rsidR="002B18DB" w:rsidRPr="002B18DB">
                        <w:rPr>
                          <w:rFonts w:ascii="Imprint MT Shadow" w:hAnsi="Imprint MT Shadow"/>
                          <w:color w:val="00B0F0"/>
                          <w:sz w:val="56"/>
                          <w:szCs w:val="56"/>
                          <w:lang w:val="es-ES_tradnl"/>
                        </w:rPr>
                        <w:t>“Los grandes volverán rápido”</w:t>
                      </w:r>
                    </w:p>
                    <w:p w:rsidR="009817BD" w:rsidRPr="00ED323D" w:rsidRDefault="00296B99" w:rsidP="00296B99">
                      <w:pPr>
                        <w:spacing w:line="240" w:lineRule="auto"/>
                        <w:jc w:val="center"/>
                        <w:rPr>
                          <w:rFonts w:ascii="Imprint MT Shadow" w:hAnsi="Imprint MT Shadow"/>
                          <w:color w:val="FFFFFF" w:themeColor="background1"/>
                          <w:sz w:val="36"/>
                          <w:szCs w:val="36"/>
                          <w:lang w:val="es-ES_tradnl"/>
                        </w:rPr>
                      </w:pPr>
                      <w:r w:rsidRPr="00D859EB">
                        <w:rPr>
                          <w:rFonts w:ascii="Century Gothic" w:hAnsi="Century Gothic"/>
                          <w:color w:val="FFFFFF" w:themeColor="background1"/>
                          <w:sz w:val="40"/>
                          <w:lang w:val="es-ES_tradnl"/>
                        </w:rPr>
                        <w:br/>
                      </w:r>
                      <w:r w:rsidR="0098284D" w:rsidRPr="00ED323D">
                        <w:rPr>
                          <w:rFonts w:ascii="Imprint MT Shadow" w:hAnsi="Imprint MT Shadow"/>
                          <w:color w:val="FFFFFF" w:themeColor="background1"/>
                          <w:sz w:val="36"/>
                          <w:szCs w:val="36"/>
                          <w:lang w:val="es-ES_tradnl"/>
                        </w:rPr>
                        <w:t xml:space="preserve">Autor: </w:t>
                      </w:r>
                      <w:r w:rsidR="008622F2" w:rsidRPr="00ED323D">
                        <w:rPr>
                          <w:rFonts w:ascii="Imprint MT Shadow" w:hAnsi="Imprint MT Shadow"/>
                          <w:color w:val="FFFFFF" w:themeColor="background1"/>
                          <w:sz w:val="36"/>
                          <w:szCs w:val="36"/>
                          <w:lang w:val="es-ES_tradnl"/>
                        </w:rPr>
                        <w:t>Javier Vicuña</w:t>
                      </w:r>
                    </w:p>
                  </w:txbxContent>
                </v:textbox>
                <w10:wrap type="through"/>
              </v:shape>
            </w:pict>
          </w:r>
          <w:r w:rsidR="00D30B23">
            <w:rPr>
              <w:noProof/>
              <w:lang w:val="es-AR" w:eastAsia="es-AR"/>
            </w:rPr>
            <w:drawing>
              <wp:anchor distT="0" distB="0" distL="114300" distR="114300" simplePos="0" relativeHeight="251671552" behindDoc="1" locked="0" layoutInCell="1" allowOverlap="1" wp14:anchorId="0D6058C7" wp14:editId="443A76C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6C338A"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Abril</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11EC6C45" wp14:editId="360245B8">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10397598" wp14:editId="07610238">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2F9EC216" wp14:editId="7888921E">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2A5A77B8" wp14:editId="6BAF9A31">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sdtContent>
    </w:sdt>
    <w:p w:rsidR="00A44CF7" w:rsidRDefault="00A44CF7" w:rsidP="003B5618">
      <w:pPr>
        <w:spacing w:line="360" w:lineRule="auto"/>
        <w:jc w:val="both"/>
      </w:pPr>
    </w:p>
    <w:p w:rsidR="00696DA4" w:rsidRDefault="002B18DB" w:rsidP="003B5618">
      <w:pPr>
        <w:spacing w:line="360" w:lineRule="auto"/>
        <w:jc w:val="both"/>
        <w:rPr>
          <w:rFonts w:ascii="Arial" w:hAnsi="Arial" w:cs="Arial"/>
          <w:color w:val="000000" w:themeColor="text1"/>
          <w:sz w:val="24"/>
          <w:szCs w:val="24"/>
        </w:rPr>
      </w:pPr>
      <w:r w:rsidRPr="002B18DB">
        <w:rPr>
          <w:rFonts w:ascii="Arial" w:hAnsi="Arial" w:cs="Arial"/>
          <w:b/>
          <w:color w:val="0070C0"/>
          <w:sz w:val="24"/>
          <w:szCs w:val="24"/>
        </w:rPr>
        <w:t>Los Grandes volverán rápido,</w:t>
      </w:r>
      <w:r>
        <w:rPr>
          <w:rFonts w:ascii="Arial" w:hAnsi="Arial" w:cs="Arial"/>
          <w:b/>
          <w:color w:val="00B0F0"/>
          <w:sz w:val="24"/>
          <w:szCs w:val="24"/>
        </w:rPr>
        <w:t xml:space="preserve"> </w:t>
      </w:r>
      <w:r w:rsidRPr="002B18DB">
        <w:rPr>
          <w:rFonts w:ascii="Arial" w:hAnsi="Arial" w:cs="Arial"/>
          <w:color w:val="000000" w:themeColor="text1"/>
          <w:sz w:val="24"/>
          <w:szCs w:val="24"/>
        </w:rPr>
        <w:t>tanto E</w:t>
      </w:r>
      <w:r>
        <w:rPr>
          <w:rFonts w:ascii="Arial" w:hAnsi="Arial" w:cs="Arial"/>
          <w:color w:val="000000" w:themeColor="text1"/>
          <w:sz w:val="24"/>
          <w:szCs w:val="24"/>
        </w:rPr>
        <w:t>E.UU</w:t>
      </w:r>
      <w:r w:rsidR="00323F08">
        <w:rPr>
          <w:rFonts w:ascii="Arial" w:hAnsi="Arial" w:cs="Arial"/>
          <w:color w:val="000000" w:themeColor="text1"/>
          <w:sz w:val="24"/>
          <w:szCs w:val="24"/>
        </w:rPr>
        <w:t>.</w:t>
      </w:r>
      <w:r>
        <w:rPr>
          <w:rFonts w:ascii="Arial" w:hAnsi="Arial" w:cs="Arial"/>
          <w:color w:val="000000" w:themeColor="text1"/>
          <w:sz w:val="24"/>
          <w:szCs w:val="24"/>
        </w:rPr>
        <w:t xml:space="preserve"> como China cuyos PBI representan el 25% y el 14% del PBI mundial</w:t>
      </w:r>
      <w:r w:rsidR="00323F08">
        <w:rPr>
          <w:rFonts w:ascii="Arial" w:hAnsi="Arial" w:cs="Arial"/>
          <w:color w:val="000000" w:themeColor="text1"/>
          <w:sz w:val="24"/>
          <w:szCs w:val="24"/>
        </w:rPr>
        <w:t>, están desarrollando distintas estrategias para volver a ser protagonistas enfrentando la recesión global que la pandemia ha instalado. La República Popular depende casi exclusivamente de su demanda interna para el crecimiento de su economía, lo que implica que la caída del intercambio global producida por el coronavirus no es un factor relevante para su recuperación económica.</w:t>
      </w:r>
    </w:p>
    <w:p w:rsidR="00323F08" w:rsidRDefault="00323F08" w:rsidP="003B561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Más de la mitad</w:t>
      </w:r>
      <w:r w:rsidR="00C13BD4">
        <w:rPr>
          <w:rFonts w:ascii="Arial" w:hAnsi="Arial" w:cs="Arial"/>
          <w:color w:val="000000" w:themeColor="text1"/>
          <w:sz w:val="24"/>
          <w:szCs w:val="24"/>
        </w:rPr>
        <w:t xml:space="preserve"> de sus</w:t>
      </w:r>
      <w:r>
        <w:rPr>
          <w:rFonts w:ascii="Arial" w:hAnsi="Arial" w:cs="Arial"/>
          <w:color w:val="000000" w:themeColor="text1"/>
          <w:sz w:val="24"/>
          <w:szCs w:val="24"/>
        </w:rPr>
        <w:t xml:space="preserve"> empresas manufactureras ha reanudado la producción incluidas casi todas las grandes transnacionales, responsables de entre 60% y 90% de sus exportaciones. Los datos del comercio exterior son de importancia estratégica para la economía china y para el mundo</w:t>
      </w:r>
      <w:r w:rsidR="0043663C">
        <w:rPr>
          <w:rFonts w:ascii="Arial" w:hAnsi="Arial" w:cs="Arial"/>
          <w:color w:val="000000" w:themeColor="text1"/>
          <w:sz w:val="24"/>
          <w:szCs w:val="24"/>
        </w:rPr>
        <w:t>, ya que es la primera exportadora mundial (US$2,4 billones en 2019) y la principal socia comercial de 144 países.</w:t>
      </w:r>
    </w:p>
    <w:p w:rsidR="0043663C" w:rsidRDefault="0043663C" w:rsidP="003B561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Su potencia exportadora está intacta por el lado de la oferta, por lo tanto el gran tema es la demanda, quienes podrán comprar y en qué cantidades debido a la gran recesión que se ha producido especialmente en Europa y EE.UU.</w:t>
      </w:r>
    </w:p>
    <w:p w:rsidR="007D4A56" w:rsidRDefault="007D4A56" w:rsidP="003B5618">
      <w:pPr>
        <w:spacing w:line="360" w:lineRule="auto"/>
        <w:jc w:val="both"/>
        <w:rPr>
          <w:rFonts w:ascii="Arial" w:hAnsi="Arial" w:cs="Arial"/>
          <w:color w:val="000000" w:themeColor="text1"/>
          <w:sz w:val="24"/>
          <w:szCs w:val="24"/>
        </w:rPr>
      </w:pPr>
      <w:r>
        <w:rPr>
          <w:noProof/>
          <w:lang w:val="es-AR" w:eastAsia="es-AR"/>
        </w:rPr>
        <w:drawing>
          <wp:inline distT="0" distB="0" distL="0" distR="0" wp14:anchorId="2C4BE0D2" wp14:editId="75FCA52A">
            <wp:extent cx="5400040" cy="3146320"/>
            <wp:effectExtent l="0" t="0" r="0" b="0"/>
            <wp:docPr id="8" name="Imagen 8" descr="El FMI advierte que el diferendo EE.UU. y China hace peligra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FMI advierte que el diferendo EE.UU. y China hace peligrar e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46320"/>
                    </a:xfrm>
                    <a:prstGeom prst="rect">
                      <a:avLst/>
                    </a:prstGeom>
                    <a:noFill/>
                    <a:ln>
                      <a:noFill/>
                    </a:ln>
                  </pic:spPr>
                </pic:pic>
              </a:graphicData>
            </a:graphic>
          </wp:inline>
        </w:drawing>
      </w:r>
    </w:p>
    <w:p w:rsidR="0043663C" w:rsidRPr="00B842A7" w:rsidRDefault="0043663C" w:rsidP="003B5618">
      <w:pPr>
        <w:spacing w:line="360" w:lineRule="auto"/>
        <w:jc w:val="both"/>
        <w:rPr>
          <w:rFonts w:ascii="Arial" w:hAnsi="Arial" w:cs="Arial"/>
          <w:color w:val="0070C0"/>
          <w:sz w:val="24"/>
          <w:szCs w:val="24"/>
        </w:rPr>
      </w:pPr>
      <w:r>
        <w:rPr>
          <w:rFonts w:ascii="Arial" w:hAnsi="Arial" w:cs="Arial"/>
          <w:color w:val="000000" w:themeColor="text1"/>
          <w:sz w:val="24"/>
          <w:szCs w:val="24"/>
        </w:rPr>
        <w:lastRenderedPageBreak/>
        <w:t>En este último país, la previsión de la Reserva Federal es que, tras dominar la pandemia, que podría ocurrir en un plazo entre cuatro a seis semanas, cuyos indicadores de productividad, innovación y movilización de recursos de capital y trabajo están intactos, asegurarían una recuperación en forma de U en el segundo semestre. A esto hay que sumarle</w:t>
      </w:r>
      <w:r w:rsidR="00C13BD4">
        <w:rPr>
          <w:rFonts w:ascii="Arial" w:hAnsi="Arial" w:cs="Arial"/>
          <w:color w:val="000000" w:themeColor="text1"/>
          <w:sz w:val="24"/>
          <w:szCs w:val="24"/>
        </w:rPr>
        <w:t xml:space="preserve"> el despliegue </w:t>
      </w:r>
      <w:r w:rsidR="004E419E">
        <w:rPr>
          <w:rFonts w:ascii="Arial" w:hAnsi="Arial" w:cs="Arial"/>
          <w:color w:val="000000" w:themeColor="text1"/>
          <w:sz w:val="24"/>
          <w:szCs w:val="24"/>
        </w:rPr>
        <w:t>gigantesco</w:t>
      </w:r>
      <w:r w:rsidR="00C13BD4">
        <w:rPr>
          <w:rFonts w:ascii="Arial" w:hAnsi="Arial" w:cs="Arial"/>
          <w:color w:val="000000" w:themeColor="text1"/>
          <w:sz w:val="24"/>
          <w:szCs w:val="24"/>
        </w:rPr>
        <w:t xml:space="preserve"> que </w:t>
      </w:r>
      <w:r w:rsidR="00C13BD4" w:rsidRPr="00B842A7">
        <w:rPr>
          <w:rFonts w:ascii="Arial" w:hAnsi="Arial" w:cs="Arial"/>
          <w:color w:val="000000" w:themeColor="text1"/>
          <w:sz w:val="24"/>
          <w:szCs w:val="24"/>
        </w:rPr>
        <w:t>generará el estímulo fiscal de US$8,5 billones que han lanzado en conjunto el Congreso y la Reserva Federal.</w:t>
      </w:r>
    </w:p>
    <w:p w:rsidR="00C13BD4" w:rsidRDefault="00C13BD4" w:rsidP="003B561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EE.UU. y China responden por más del 50% de la expansión de la economía mundial, y entre los dos encabezan más del 60% de la Cuarta revolución Industrial, o sea la vanguardia tecnológica y la economía digital.</w:t>
      </w:r>
    </w:p>
    <w:p w:rsidR="00B842A7" w:rsidRPr="00B842A7" w:rsidRDefault="00B842A7" w:rsidP="003B5618">
      <w:pPr>
        <w:spacing w:line="360" w:lineRule="auto"/>
        <w:jc w:val="both"/>
        <w:rPr>
          <w:rFonts w:ascii="Arial" w:hAnsi="Arial" w:cs="Arial"/>
          <w:b/>
          <w:color w:val="0070C0"/>
          <w:sz w:val="24"/>
          <w:szCs w:val="24"/>
        </w:rPr>
      </w:pPr>
    </w:p>
    <w:p w:rsidR="005F6DBC" w:rsidRPr="00B842A7" w:rsidRDefault="00B842A7" w:rsidP="003B5618">
      <w:pPr>
        <w:spacing w:line="360" w:lineRule="auto"/>
        <w:jc w:val="both"/>
        <w:rPr>
          <w:rFonts w:ascii="Arial" w:hAnsi="Arial" w:cs="Arial"/>
          <w:b/>
          <w:color w:val="0070C0"/>
          <w:sz w:val="24"/>
          <w:szCs w:val="24"/>
        </w:rPr>
      </w:pPr>
      <w:r w:rsidRPr="00B842A7">
        <w:rPr>
          <w:rFonts w:ascii="Arial" w:hAnsi="Arial" w:cs="Arial"/>
          <w:b/>
          <w:color w:val="0070C0"/>
          <w:sz w:val="24"/>
          <w:szCs w:val="24"/>
        </w:rPr>
        <w:t>Los mercados emergentes más riesgosos</w:t>
      </w:r>
    </w:p>
    <w:p w:rsidR="005F6DBC" w:rsidRDefault="00DC74FD" w:rsidP="003B561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w:t>
      </w:r>
      <w:r w:rsidR="005F6DBC" w:rsidRPr="005F6DBC">
        <w:rPr>
          <w:rFonts w:ascii="Arial" w:hAnsi="Arial" w:cs="Arial"/>
          <w:color w:val="000000" w:themeColor="text1"/>
          <w:sz w:val="24"/>
          <w:szCs w:val="24"/>
        </w:rPr>
        <w:t xml:space="preserve">a influyente revista The </w:t>
      </w:r>
      <w:proofErr w:type="spellStart"/>
      <w:r w:rsidR="005F6DBC" w:rsidRPr="005F6DBC">
        <w:rPr>
          <w:rFonts w:ascii="Arial" w:hAnsi="Arial" w:cs="Arial"/>
          <w:color w:val="000000" w:themeColor="text1"/>
          <w:sz w:val="24"/>
          <w:szCs w:val="24"/>
        </w:rPr>
        <w:t>Economist</w:t>
      </w:r>
      <w:proofErr w:type="spellEnd"/>
      <w:r w:rsidR="005F6DBC" w:rsidRPr="005F6DBC">
        <w:rPr>
          <w:rFonts w:ascii="Arial" w:hAnsi="Arial" w:cs="Arial"/>
          <w:color w:val="000000" w:themeColor="text1"/>
          <w:sz w:val="24"/>
          <w:szCs w:val="24"/>
        </w:rPr>
        <w:t xml:space="preserve"> </w:t>
      </w:r>
      <w:r w:rsidR="00D6482B">
        <w:rPr>
          <w:rFonts w:ascii="Arial" w:hAnsi="Arial" w:cs="Arial"/>
          <w:color w:val="000000" w:themeColor="text1"/>
          <w:sz w:val="24"/>
          <w:szCs w:val="24"/>
        </w:rPr>
        <w:t>en su flamante edición online elaboró</w:t>
      </w:r>
      <w:r w:rsidR="005F6DBC" w:rsidRPr="005F6DBC">
        <w:rPr>
          <w:rFonts w:ascii="Arial" w:hAnsi="Arial" w:cs="Arial"/>
          <w:color w:val="000000" w:themeColor="text1"/>
          <w:sz w:val="24"/>
          <w:szCs w:val="24"/>
        </w:rPr>
        <w:t xml:space="preserve"> un ranking de 66 países</w:t>
      </w:r>
      <w:r w:rsidR="00D6482B">
        <w:rPr>
          <w:rFonts w:ascii="Arial" w:hAnsi="Arial" w:cs="Arial"/>
          <w:color w:val="000000" w:themeColor="text1"/>
          <w:sz w:val="24"/>
          <w:szCs w:val="24"/>
        </w:rPr>
        <w:t xml:space="preserve"> que</w:t>
      </w:r>
      <w:r w:rsidR="005F6DBC" w:rsidRPr="005F6DBC">
        <w:rPr>
          <w:rFonts w:ascii="Arial" w:hAnsi="Arial" w:cs="Arial"/>
          <w:color w:val="000000" w:themeColor="text1"/>
          <w:sz w:val="24"/>
          <w:szCs w:val="24"/>
        </w:rPr>
        <w:t xml:space="preserve"> ubica a la Argentina como el décimo de mayor riesgo, sólo superado en nivel de riesgo por Venezuela (al fondo de la tabla), Líbano (que ya entró en default por el no pago de un Eurobono), </w:t>
      </w:r>
      <w:proofErr w:type="spellStart"/>
      <w:r w:rsidR="005F6DBC" w:rsidRPr="005F6DBC">
        <w:rPr>
          <w:rFonts w:ascii="Arial" w:hAnsi="Arial" w:cs="Arial"/>
          <w:color w:val="000000" w:themeColor="text1"/>
          <w:sz w:val="24"/>
          <w:szCs w:val="24"/>
        </w:rPr>
        <w:t>Bahrein</w:t>
      </w:r>
      <w:proofErr w:type="spellEnd"/>
      <w:r w:rsidR="005F6DBC" w:rsidRPr="005F6DBC">
        <w:rPr>
          <w:rFonts w:ascii="Arial" w:hAnsi="Arial" w:cs="Arial"/>
          <w:color w:val="000000" w:themeColor="text1"/>
          <w:sz w:val="24"/>
          <w:szCs w:val="24"/>
        </w:rPr>
        <w:t>, Angola, Sierra Leona, Túnez, Mongolia y Omán.</w:t>
      </w:r>
    </w:p>
    <w:p w:rsidR="005F6DBC" w:rsidRDefault="005F6DBC" w:rsidP="003B5618">
      <w:pPr>
        <w:spacing w:line="360" w:lineRule="auto"/>
        <w:jc w:val="both"/>
        <w:rPr>
          <w:rFonts w:ascii="Arial" w:hAnsi="Arial" w:cs="Arial"/>
          <w:color w:val="000000" w:themeColor="text1"/>
          <w:sz w:val="24"/>
          <w:szCs w:val="24"/>
        </w:rPr>
      </w:pPr>
      <w:r w:rsidRPr="005F6DBC">
        <w:rPr>
          <w:rFonts w:ascii="Arial" w:hAnsi="Arial" w:cs="Arial"/>
          <w:color w:val="000000" w:themeColor="text1"/>
          <w:sz w:val="24"/>
          <w:szCs w:val="24"/>
        </w:rPr>
        <w:t xml:space="preserve">De los </w:t>
      </w:r>
      <w:r w:rsidR="004E419E" w:rsidRPr="005F6DBC">
        <w:rPr>
          <w:rFonts w:ascii="Arial" w:hAnsi="Arial" w:cs="Arial"/>
          <w:color w:val="000000" w:themeColor="text1"/>
          <w:sz w:val="24"/>
          <w:szCs w:val="24"/>
        </w:rPr>
        <w:t>países</w:t>
      </w:r>
      <w:r w:rsidRPr="005F6DBC">
        <w:rPr>
          <w:rFonts w:ascii="Arial" w:hAnsi="Arial" w:cs="Arial"/>
          <w:color w:val="000000" w:themeColor="text1"/>
          <w:sz w:val="24"/>
          <w:szCs w:val="24"/>
        </w:rPr>
        <w:t xml:space="preserve"> sudamericanos, además de Perú, que aparece en el cuarto lugar del ranking de mercados seguros, los países considerados de menor riesgo son Paraguay y Bolivia, que aventajan por varios cuerpos al lote siguiente, integrado por México, Colombia, Brasil, Chile y, un poco más atrás, Uruguay.</w:t>
      </w:r>
    </w:p>
    <w:p w:rsidR="005F6DBC" w:rsidRPr="005F6DBC" w:rsidRDefault="005F6DBC" w:rsidP="005F6DBC">
      <w:pPr>
        <w:spacing w:line="360" w:lineRule="auto"/>
        <w:jc w:val="both"/>
        <w:rPr>
          <w:rFonts w:ascii="Arial" w:hAnsi="Arial" w:cs="Arial"/>
          <w:color w:val="000000" w:themeColor="text1"/>
          <w:sz w:val="24"/>
          <w:szCs w:val="24"/>
        </w:rPr>
      </w:pPr>
      <w:r w:rsidRPr="005F6DBC">
        <w:rPr>
          <w:rFonts w:ascii="Arial" w:hAnsi="Arial" w:cs="Arial"/>
          <w:color w:val="000000" w:themeColor="text1"/>
          <w:sz w:val="24"/>
          <w:szCs w:val="24"/>
        </w:rPr>
        <w:t>Cuatro variables</w:t>
      </w:r>
    </w:p>
    <w:p w:rsidR="00DC74FD" w:rsidRDefault="005F6DBC" w:rsidP="005F6DBC">
      <w:pPr>
        <w:spacing w:line="360" w:lineRule="auto"/>
        <w:jc w:val="both"/>
        <w:rPr>
          <w:rFonts w:ascii="Arial" w:hAnsi="Arial" w:cs="Arial"/>
          <w:color w:val="000000" w:themeColor="text1"/>
          <w:sz w:val="24"/>
          <w:szCs w:val="24"/>
        </w:rPr>
      </w:pPr>
      <w:r w:rsidRPr="005F6DBC">
        <w:rPr>
          <w:rFonts w:ascii="Arial" w:hAnsi="Arial" w:cs="Arial"/>
          <w:color w:val="000000" w:themeColor="text1"/>
          <w:sz w:val="24"/>
          <w:szCs w:val="24"/>
        </w:rPr>
        <w:t>Además, considera cuatro variables: deuda pública total, deuda en moneda extranjera (ambas en relación a lo que estima será el PBI 2020), el costo de financiamiento y la cobertura de reservas. Curiosamente, para el caso argentino, el nivel de deuda pública total (en pesos y en dólares) le alarma más que la deuda en moneda extranjera, y la señal negativa que más destaca es el costo financiero, esto es, el llamado riesgo-país.</w:t>
      </w:r>
    </w:p>
    <w:p w:rsidR="00DC74FD" w:rsidRDefault="00DC74FD" w:rsidP="005F6DBC">
      <w:pPr>
        <w:spacing w:line="360" w:lineRule="auto"/>
        <w:jc w:val="both"/>
        <w:rPr>
          <w:rFonts w:ascii="Arial" w:hAnsi="Arial" w:cs="Arial"/>
          <w:color w:val="000000" w:themeColor="text1"/>
          <w:sz w:val="24"/>
          <w:szCs w:val="24"/>
        </w:rPr>
      </w:pPr>
      <w:r>
        <w:rPr>
          <w:noProof/>
          <w:lang w:val="es-AR" w:eastAsia="es-AR"/>
        </w:rPr>
        <w:lastRenderedPageBreak/>
        <w:drawing>
          <wp:inline distT="0" distB="0" distL="0" distR="0" wp14:anchorId="4E3FA710" wp14:editId="62E52361">
            <wp:extent cx="5397649" cy="8357191"/>
            <wp:effectExtent l="0" t="0" r="0" b="0"/>
            <wp:docPr id="3" name="Imagen 3" descr="El ranking lista los países de menor a mayor riesgo en base a cuatro variables: deuda total y deuda en moneda extranjera, ambas en relación al PBI, costo crediticio, medido por el riesgo-país, y cobertura de reservas extran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ranking lista los países de menor a mayor riesgo en base a cuatro variables: deuda total y deuda en moneda extranjera, ambas en relación al PBI, costo crediticio, medido por el riesgo-país, y cobertura de reservas extranjer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8360893"/>
                    </a:xfrm>
                    <a:prstGeom prst="rect">
                      <a:avLst/>
                    </a:prstGeom>
                    <a:noFill/>
                    <a:ln>
                      <a:noFill/>
                    </a:ln>
                  </pic:spPr>
                </pic:pic>
              </a:graphicData>
            </a:graphic>
          </wp:inline>
        </w:drawing>
      </w:r>
    </w:p>
    <w:p w:rsidR="00DC74FD" w:rsidRDefault="00DC74FD" w:rsidP="005F6DBC">
      <w:pPr>
        <w:spacing w:line="360" w:lineRule="auto"/>
        <w:jc w:val="both"/>
        <w:rPr>
          <w:rFonts w:ascii="Arial" w:hAnsi="Arial" w:cs="Arial"/>
          <w:color w:val="000000" w:themeColor="text1"/>
          <w:sz w:val="24"/>
          <w:szCs w:val="24"/>
        </w:rPr>
      </w:pPr>
    </w:p>
    <w:p w:rsidR="00DC74FD" w:rsidRDefault="00DC74FD" w:rsidP="005F6DBC">
      <w:pPr>
        <w:spacing w:line="360" w:lineRule="auto"/>
        <w:jc w:val="both"/>
        <w:rPr>
          <w:rFonts w:ascii="Arial" w:hAnsi="Arial" w:cs="Arial"/>
          <w:color w:val="000000" w:themeColor="text1"/>
          <w:sz w:val="24"/>
          <w:szCs w:val="24"/>
        </w:rPr>
      </w:pPr>
      <w:r w:rsidRPr="00DC74FD">
        <w:rPr>
          <w:rFonts w:ascii="Arial" w:hAnsi="Arial" w:cs="Arial"/>
          <w:color w:val="000000" w:themeColor="text1"/>
          <w:sz w:val="24"/>
          <w:szCs w:val="24"/>
        </w:rPr>
        <w:t>Con la pandemia de coronavirus en pleno proceso de destrucción, la pregunta en los círculos económicos y financieros es quién será el próximo</w:t>
      </w:r>
      <w:r w:rsidR="00D6482B">
        <w:rPr>
          <w:rFonts w:ascii="Arial" w:hAnsi="Arial" w:cs="Arial"/>
          <w:color w:val="000000" w:themeColor="text1"/>
          <w:sz w:val="24"/>
          <w:szCs w:val="24"/>
        </w:rPr>
        <w:t xml:space="preserve"> en pedir ayuda</w:t>
      </w:r>
      <w:r w:rsidRPr="00DC74FD">
        <w:rPr>
          <w:rFonts w:ascii="Arial" w:hAnsi="Arial" w:cs="Arial"/>
          <w:color w:val="000000" w:themeColor="text1"/>
          <w:sz w:val="24"/>
          <w:szCs w:val="24"/>
        </w:rPr>
        <w:t xml:space="preserve">, dice The </w:t>
      </w:r>
      <w:proofErr w:type="spellStart"/>
      <w:r w:rsidRPr="00DC74FD">
        <w:rPr>
          <w:rFonts w:ascii="Arial" w:hAnsi="Arial" w:cs="Arial"/>
          <w:color w:val="000000" w:themeColor="text1"/>
          <w:sz w:val="24"/>
          <w:szCs w:val="24"/>
        </w:rPr>
        <w:t>Economist</w:t>
      </w:r>
      <w:proofErr w:type="spellEnd"/>
      <w:r w:rsidRPr="00DC74FD">
        <w:rPr>
          <w:rFonts w:ascii="Arial" w:hAnsi="Arial" w:cs="Arial"/>
          <w:color w:val="000000" w:themeColor="text1"/>
          <w:sz w:val="24"/>
          <w:szCs w:val="24"/>
        </w:rPr>
        <w:t>, y precisa que más de 100 países ya</w:t>
      </w:r>
      <w:r w:rsidR="00D6482B">
        <w:rPr>
          <w:rFonts w:ascii="Arial" w:hAnsi="Arial" w:cs="Arial"/>
          <w:color w:val="000000" w:themeColor="text1"/>
          <w:sz w:val="24"/>
          <w:szCs w:val="24"/>
        </w:rPr>
        <w:t xml:space="preserve"> la pidieron</w:t>
      </w:r>
      <w:r w:rsidRPr="00DC74FD">
        <w:rPr>
          <w:rFonts w:ascii="Arial" w:hAnsi="Arial" w:cs="Arial"/>
          <w:color w:val="000000" w:themeColor="text1"/>
          <w:sz w:val="24"/>
          <w:szCs w:val="24"/>
        </w:rPr>
        <w:t xml:space="preserve"> al FMI, que aprobó 40 créditos de rápido desembolso para “desastres naturales”.</w:t>
      </w:r>
    </w:p>
    <w:p w:rsidR="00DC74FD" w:rsidRPr="00DC74FD" w:rsidRDefault="00D6482B" w:rsidP="00DC74F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A</w:t>
      </w:r>
      <w:r w:rsidR="00DC74FD" w:rsidRPr="00DC74FD">
        <w:rPr>
          <w:rFonts w:ascii="Arial" w:hAnsi="Arial" w:cs="Arial"/>
          <w:color w:val="000000" w:themeColor="text1"/>
          <w:sz w:val="24"/>
          <w:szCs w:val="24"/>
        </w:rPr>
        <w:t xml:space="preserve">lgunos países (como Angola, </w:t>
      </w:r>
      <w:proofErr w:type="spellStart"/>
      <w:r w:rsidR="00DC74FD" w:rsidRPr="00DC74FD">
        <w:rPr>
          <w:rFonts w:ascii="Arial" w:hAnsi="Arial" w:cs="Arial"/>
          <w:color w:val="000000" w:themeColor="text1"/>
          <w:sz w:val="24"/>
          <w:szCs w:val="24"/>
        </w:rPr>
        <w:t>Bahrein</w:t>
      </w:r>
      <w:proofErr w:type="spellEnd"/>
      <w:r w:rsidR="00DC74FD" w:rsidRPr="00DC74FD">
        <w:rPr>
          <w:rFonts w:ascii="Arial" w:hAnsi="Arial" w:cs="Arial"/>
          <w:color w:val="000000" w:themeColor="text1"/>
          <w:sz w:val="24"/>
          <w:szCs w:val="24"/>
        </w:rPr>
        <w:t xml:space="preserve"> e Irak) tienen deudas que superan el 100% del PBI, pero en la mayoría de </w:t>
      </w:r>
      <w:proofErr w:type="gramStart"/>
      <w:r w:rsidR="00DC74FD" w:rsidRPr="00DC74FD">
        <w:rPr>
          <w:rFonts w:ascii="Arial" w:hAnsi="Arial" w:cs="Arial"/>
          <w:color w:val="000000" w:themeColor="text1"/>
          <w:sz w:val="24"/>
          <w:szCs w:val="24"/>
        </w:rPr>
        <w:t>las</w:t>
      </w:r>
      <w:proofErr w:type="gramEnd"/>
      <w:r w:rsidR="00DC74FD" w:rsidRPr="00DC74FD">
        <w:rPr>
          <w:rFonts w:ascii="Arial" w:hAnsi="Arial" w:cs="Arial"/>
          <w:color w:val="000000" w:themeColor="text1"/>
          <w:sz w:val="24"/>
          <w:szCs w:val="24"/>
        </w:rPr>
        <w:t xml:space="preserve"> 30 coleros la deuda es inferior al 60% del PBI. En tanto, 16 países (entre ellos, por cierto, la Argentina) tienen niveles de riesgo-país por arriba del 10% (mil puntos básicos) mientras que en otros 20 el riesgo-país es inferior a los 400 puntos.</w:t>
      </w:r>
    </w:p>
    <w:p w:rsidR="00DC74FD" w:rsidRPr="00DC74FD" w:rsidRDefault="00DC74FD" w:rsidP="00DC74FD">
      <w:pPr>
        <w:spacing w:line="360" w:lineRule="auto"/>
        <w:jc w:val="both"/>
        <w:rPr>
          <w:rFonts w:ascii="Arial" w:hAnsi="Arial" w:cs="Arial"/>
          <w:color w:val="000000" w:themeColor="text1"/>
          <w:sz w:val="24"/>
          <w:szCs w:val="24"/>
        </w:rPr>
      </w:pPr>
      <w:r w:rsidRPr="00DC74FD">
        <w:rPr>
          <w:rFonts w:ascii="Arial" w:hAnsi="Arial" w:cs="Arial"/>
          <w:color w:val="000000" w:themeColor="text1"/>
          <w:sz w:val="24"/>
          <w:szCs w:val="24"/>
        </w:rPr>
        <w:t xml:space="preserve">En 2020, los 66 países del listado deben cubrir 4 billones (millones de millones) de dólares servicios de deuda y déficit en cuenta corriente, incluyendo 1,1 billones corresponden a China y tienen 8 </w:t>
      </w:r>
      <w:proofErr w:type="spellStart"/>
      <w:r w:rsidRPr="00DC74FD">
        <w:rPr>
          <w:rFonts w:ascii="Arial" w:hAnsi="Arial" w:cs="Arial"/>
          <w:color w:val="000000" w:themeColor="text1"/>
          <w:sz w:val="24"/>
          <w:szCs w:val="24"/>
        </w:rPr>
        <w:t>biillones</w:t>
      </w:r>
      <w:proofErr w:type="spellEnd"/>
      <w:r w:rsidRPr="00DC74FD">
        <w:rPr>
          <w:rFonts w:ascii="Arial" w:hAnsi="Arial" w:cs="Arial"/>
          <w:color w:val="000000" w:themeColor="text1"/>
          <w:sz w:val="24"/>
          <w:szCs w:val="24"/>
        </w:rPr>
        <w:t xml:space="preserve"> de reservas internacionales (de las que 3 billones son de China). La mitad del listado tiene suficiente para cubrir todos los compromisos, mientras que a 27 de los últimos 30 del listado (incluida la Argentina) le estarían faltando unos USD 500.000 millones. El de peor situación es Turquía, que gastó sus reservas para sostener su moneda, la lira turca.</w:t>
      </w:r>
    </w:p>
    <w:p w:rsidR="00696DA4" w:rsidRDefault="00DC74FD" w:rsidP="003B5618">
      <w:pPr>
        <w:spacing w:line="360" w:lineRule="auto"/>
        <w:jc w:val="both"/>
      </w:pPr>
      <w:r w:rsidRPr="00DC74FD">
        <w:rPr>
          <w:rFonts w:ascii="Arial" w:hAnsi="Arial" w:cs="Arial"/>
          <w:color w:val="000000" w:themeColor="text1"/>
          <w:sz w:val="24"/>
          <w:szCs w:val="24"/>
        </w:rPr>
        <w:t xml:space="preserve">Cálculos de ese tipo, reconoce The </w:t>
      </w:r>
      <w:proofErr w:type="spellStart"/>
      <w:r w:rsidRPr="00DC74FD">
        <w:rPr>
          <w:rFonts w:ascii="Arial" w:hAnsi="Arial" w:cs="Arial"/>
          <w:color w:val="000000" w:themeColor="text1"/>
          <w:sz w:val="24"/>
          <w:szCs w:val="24"/>
        </w:rPr>
        <w:t>Economist</w:t>
      </w:r>
      <w:proofErr w:type="spellEnd"/>
      <w:r w:rsidRPr="00DC74FD">
        <w:rPr>
          <w:rFonts w:ascii="Arial" w:hAnsi="Arial" w:cs="Arial"/>
          <w:color w:val="000000" w:themeColor="text1"/>
          <w:sz w:val="24"/>
          <w:szCs w:val="24"/>
        </w:rPr>
        <w:t xml:space="preserve">, no tienen en cuenta el riesgo de fuga de capitales de los propios ciudadanos de un país. A su vez, asumen que los países no atraerán inversión extranjera, algo que tal vez sea demasiado pesimista. De hecho, precisa el artículo, 11 economías emergentes colocaron USD 44.000 millones en bonos y hasta Panamá, </w:t>
      </w:r>
      <w:proofErr w:type="spellStart"/>
      <w:r w:rsidRPr="00DC74FD">
        <w:rPr>
          <w:rFonts w:ascii="Arial" w:hAnsi="Arial" w:cs="Arial"/>
          <w:color w:val="000000" w:themeColor="text1"/>
          <w:sz w:val="24"/>
          <w:szCs w:val="24"/>
        </w:rPr>
        <w:t>hiperendeudado</w:t>
      </w:r>
      <w:proofErr w:type="spellEnd"/>
      <w:r w:rsidRPr="00DC74FD">
        <w:rPr>
          <w:rFonts w:ascii="Arial" w:hAnsi="Arial" w:cs="Arial"/>
          <w:color w:val="000000" w:themeColor="text1"/>
          <w:sz w:val="24"/>
          <w:szCs w:val="24"/>
        </w:rPr>
        <w:t xml:space="preserve"> y corto de reservas, emitió bo</w:t>
      </w:r>
      <w:bookmarkStart w:id="0" w:name="_GoBack"/>
      <w:bookmarkEnd w:id="0"/>
      <w:r w:rsidRPr="00DC74FD">
        <w:rPr>
          <w:rFonts w:ascii="Arial" w:hAnsi="Arial" w:cs="Arial"/>
          <w:color w:val="000000" w:themeColor="text1"/>
          <w:sz w:val="24"/>
          <w:szCs w:val="24"/>
        </w:rPr>
        <w:t>nos a un costo inferior a los 400 puntos básicos.</w:t>
      </w:r>
    </w:p>
    <w:sectPr w:rsidR="00696DA4"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4B8" w:rsidRDefault="00EF04B8" w:rsidP="00296B99">
      <w:pPr>
        <w:spacing w:after="0" w:line="240" w:lineRule="auto"/>
      </w:pPr>
      <w:r>
        <w:separator/>
      </w:r>
    </w:p>
  </w:endnote>
  <w:endnote w:type="continuationSeparator" w:id="0">
    <w:p w:rsidR="00EF04B8" w:rsidRDefault="00EF04B8"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mprint MT Shadow">
    <w:altName w:val="Gabriola"/>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EF04B8">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4E419E" w:rsidRPr="004E419E">
                          <w:rPr>
                            <w:rFonts w:ascii="Century Gothic" w:hAnsi="Century Gothic"/>
                            <w:b/>
                            <w:bCs/>
                            <w:noProof/>
                            <w:color w:val="FFFFFF" w:themeColor="background1"/>
                            <w:sz w:val="32"/>
                            <w:szCs w:val="32"/>
                          </w:rPr>
                          <w:t>2</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4B8" w:rsidRDefault="00EF04B8" w:rsidP="00296B99">
      <w:pPr>
        <w:spacing w:after="0" w:line="240" w:lineRule="auto"/>
      </w:pPr>
      <w:r>
        <w:separator/>
      </w:r>
    </w:p>
  </w:footnote>
  <w:footnote w:type="continuationSeparator" w:id="0">
    <w:p w:rsidR="00EF04B8" w:rsidRDefault="00EF04B8"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EF04B8">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6C338A">
                  <w:rPr>
                    <w:color w:val="FFFFFF" w:themeColor="background1"/>
                    <w:sz w:val="28"/>
                    <w:lang w:val="es-ES_tradnl"/>
                  </w:rPr>
                  <w:t>Abril</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814C2"/>
    <w:rsid w:val="00091AA6"/>
    <w:rsid w:val="000974F2"/>
    <w:rsid w:val="00100CA0"/>
    <w:rsid w:val="00123BB4"/>
    <w:rsid w:val="00160402"/>
    <w:rsid w:val="001A3F02"/>
    <w:rsid w:val="001C5B42"/>
    <w:rsid w:val="001D1A15"/>
    <w:rsid w:val="0022285B"/>
    <w:rsid w:val="0023389D"/>
    <w:rsid w:val="00264334"/>
    <w:rsid w:val="00296B99"/>
    <w:rsid w:val="002A1719"/>
    <w:rsid w:val="002A1DF9"/>
    <w:rsid w:val="002B18DB"/>
    <w:rsid w:val="003161DF"/>
    <w:rsid w:val="0032375B"/>
    <w:rsid w:val="00323F08"/>
    <w:rsid w:val="003916B4"/>
    <w:rsid w:val="003B5618"/>
    <w:rsid w:val="0043663C"/>
    <w:rsid w:val="0047365F"/>
    <w:rsid w:val="004B7996"/>
    <w:rsid w:val="004D40AD"/>
    <w:rsid w:val="004E419E"/>
    <w:rsid w:val="0057548A"/>
    <w:rsid w:val="005A4B3A"/>
    <w:rsid w:val="005C0516"/>
    <w:rsid w:val="005C1F82"/>
    <w:rsid w:val="005F6DBC"/>
    <w:rsid w:val="00622992"/>
    <w:rsid w:val="00641A5F"/>
    <w:rsid w:val="00665682"/>
    <w:rsid w:val="00666710"/>
    <w:rsid w:val="00696DA4"/>
    <w:rsid w:val="006C338A"/>
    <w:rsid w:val="006D4231"/>
    <w:rsid w:val="00700CDA"/>
    <w:rsid w:val="007840C9"/>
    <w:rsid w:val="007D4A56"/>
    <w:rsid w:val="007D6C65"/>
    <w:rsid w:val="008361AE"/>
    <w:rsid w:val="008622F2"/>
    <w:rsid w:val="00906480"/>
    <w:rsid w:val="0093397C"/>
    <w:rsid w:val="00961726"/>
    <w:rsid w:val="009817BD"/>
    <w:rsid w:val="0098284D"/>
    <w:rsid w:val="009A63E9"/>
    <w:rsid w:val="009C0436"/>
    <w:rsid w:val="009C7595"/>
    <w:rsid w:val="00A20F3D"/>
    <w:rsid w:val="00A44CF7"/>
    <w:rsid w:val="00A7263F"/>
    <w:rsid w:val="00AF2D06"/>
    <w:rsid w:val="00B16E87"/>
    <w:rsid w:val="00B842A7"/>
    <w:rsid w:val="00BF2C49"/>
    <w:rsid w:val="00C13BD4"/>
    <w:rsid w:val="00CA462C"/>
    <w:rsid w:val="00CD2E9D"/>
    <w:rsid w:val="00CE5282"/>
    <w:rsid w:val="00D30B23"/>
    <w:rsid w:val="00D35D36"/>
    <w:rsid w:val="00D43BD6"/>
    <w:rsid w:val="00D6482B"/>
    <w:rsid w:val="00D67B8A"/>
    <w:rsid w:val="00D75217"/>
    <w:rsid w:val="00D832F8"/>
    <w:rsid w:val="00D859EB"/>
    <w:rsid w:val="00DC74FD"/>
    <w:rsid w:val="00E14121"/>
    <w:rsid w:val="00E351E5"/>
    <w:rsid w:val="00E947E4"/>
    <w:rsid w:val="00EA2242"/>
    <w:rsid w:val="00EA58BD"/>
    <w:rsid w:val="00EC2A86"/>
    <w:rsid w:val="00ED323D"/>
    <w:rsid w:val="00ED4E46"/>
    <w:rsid w:val="00EF04B8"/>
    <w:rsid w:val="00F83D1D"/>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11931">
      <w:bodyDiv w:val="1"/>
      <w:marLeft w:val="0"/>
      <w:marRight w:val="0"/>
      <w:marTop w:val="0"/>
      <w:marBottom w:val="0"/>
      <w:divBdr>
        <w:top w:val="none" w:sz="0" w:space="0" w:color="auto"/>
        <w:left w:val="none" w:sz="0" w:space="0" w:color="auto"/>
        <w:bottom w:val="none" w:sz="0" w:space="0" w:color="auto"/>
        <w:right w:val="none" w:sz="0" w:space="0" w:color="auto"/>
      </w:divBdr>
      <w:divsChild>
        <w:div w:id="1435588979">
          <w:marLeft w:val="0"/>
          <w:marRight w:val="0"/>
          <w:marTop w:val="0"/>
          <w:marBottom w:val="0"/>
          <w:divBdr>
            <w:top w:val="none" w:sz="0" w:space="0" w:color="auto"/>
            <w:left w:val="none" w:sz="0" w:space="0" w:color="auto"/>
            <w:bottom w:val="none" w:sz="0" w:space="0" w:color="auto"/>
            <w:right w:val="none" w:sz="0" w:space="0" w:color="auto"/>
          </w:divBdr>
          <w:divsChild>
            <w:div w:id="1515801954">
              <w:marLeft w:val="0"/>
              <w:marRight w:val="0"/>
              <w:marTop w:val="75"/>
              <w:marBottom w:val="75"/>
              <w:divBdr>
                <w:top w:val="none" w:sz="0" w:space="0" w:color="auto"/>
                <w:left w:val="none" w:sz="0" w:space="0" w:color="auto"/>
                <w:bottom w:val="none" w:sz="0" w:space="0" w:color="auto"/>
                <w:right w:val="none" w:sz="0" w:space="0" w:color="auto"/>
              </w:divBdr>
            </w:div>
          </w:divsChild>
        </w:div>
        <w:div w:id="1248688311">
          <w:marLeft w:val="0"/>
          <w:marRight w:val="0"/>
          <w:marTop w:val="0"/>
          <w:marBottom w:val="0"/>
          <w:divBdr>
            <w:top w:val="none" w:sz="0" w:space="0" w:color="auto"/>
            <w:left w:val="none" w:sz="0" w:space="0" w:color="auto"/>
            <w:bottom w:val="none" w:sz="0" w:space="0" w:color="auto"/>
            <w:right w:val="none" w:sz="0" w:space="0" w:color="auto"/>
          </w:divBdr>
        </w:div>
        <w:div w:id="1704557791">
          <w:marLeft w:val="0"/>
          <w:marRight w:val="0"/>
          <w:marTop w:val="150"/>
          <w:marBottom w:val="150"/>
          <w:divBdr>
            <w:top w:val="none" w:sz="0" w:space="0" w:color="auto"/>
            <w:left w:val="none" w:sz="0" w:space="0" w:color="auto"/>
            <w:bottom w:val="none" w:sz="0" w:space="0" w:color="auto"/>
            <w:right w:val="none" w:sz="0" w:space="0" w:color="auto"/>
          </w:divBdr>
          <w:divsChild>
            <w:div w:id="602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5A76E-9EFF-4AF8-88AA-227D9A0A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Pages>
  <Words>713</Words>
  <Characters>3923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11</cp:revision>
  <cp:lastPrinted>2017-05-27T21:40:00Z</cp:lastPrinted>
  <dcterms:created xsi:type="dcterms:W3CDTF">2020-03-27T14:33:00Z</dcterms:created>
  <dcterms:modified xsi:type="dcterms:W3CDTF">2020-05-07T09:33:00Z</dcterms:modified>
</cp:coreProperties>
</file>